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Consiglio comunale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Programmazione e pianificazione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Convenzioni tra i comuni e tra i comuni e provincia, costituzione e modificazione di forme associative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Statuti dell'ente e delle aziende speciali, regolamenti nonche' criteri generali in materia di ordinamento degli uffici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Organismi di decentramento e di partecipazione - nomina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Modalita' di gestione dei pubblici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Istituzione e ordinamento dei tributi, con esclusione della determinazione delle relative aliquote; disciplina generale delle tariffe per la fruizione dei beni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Indirizzi da osservare da parte delle aziende pubbliche e degli enti dipendenti, sovvenzionati o sottoposti a vigilanza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Contrazione dei mutui non previsti espressamente in atti fondamentali del Consiglio Comunale ed emissione dei prestiti obbligazionari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Spese che impegnano i bilanci per gli esercizi successivi, escluse quelle relative alle locazioni di immobili ed alla somministrazione e fornitura di beni e servizi a carattere continuativo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Indirizzi per la nomina e la designazione dei rappresentanti del Comune presso enti, aziende ed istituzioni nonche' per la nomina dei rappresentanti del Consiglio presso enti, aziende ed istituzioni ad esso espressamente riservata dalla legge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Istituzione commissioni permanenti, temporanee o speciali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Procedure di valutazione relative all'analisi dell'impatto della regolamentazione (AIR) ai sensi dell'art.14, comma 1, della legge 28 novembre 2005, n. 246</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Procedure di valutazione relative alla verifica dell'impatto della regolamentazione (VIR) ai sensi dell'art. 14, comma 4, della legge 28 novembre 2005, n. 246</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