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Sindaco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Linee programmatiche di mandato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Attribuzione e revoca incarichi al personale dirigente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generali e obiettivi strategici in materia di prevenzione della corruzione e di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Direttive e indirizzi in ordine al funzionamento e all'attivita' amministrativa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Nomina e revoca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Nomina Segretario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Designazione e revoca dei rappresentanti del Comune presso enti, aziende e istituzioni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Nomina Organismo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Coordinamento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Ordinanze in qualita' di Ufficiale di governo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Accesso art. 43, co. 2 del T.U.E.L. da parte dei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Costituzione di ufficio posto alle dirette dipendenze del sindaco ai sensi dell'art. 90, TUEL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Accordi integrativi o sostitutivi del provvedimento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Sindaco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