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Sindaco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Linee programmatiche di mandato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Attribuzione e revoca incarichi al personale dirigente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Indirizzi generali e obiettivi strategici in materia di prevenzione della corruzione e di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Direttive e indirizzi in ordine al funzionamento e all'attivita' amministrativa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Nomina e revoca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Nomina Segretario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Designazione e revoca dei rappresentanti del Comune presso enti, aziende e istituzioni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Nomina Organismo di valutazione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Coordinamento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Ordinanze in qualita' di Ufficiale di governo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Accesso art. 43, co. 2 del T.U.E.L. da parte dei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Costituzione di ufficio posto alle dirette dipendenze del sindaco ai sensi dell'art. 90, TUEL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Accordi integrativi o sostitutivi del provvedimento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Nomina Revisore dei conti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